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Frequently Asked Questions about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Academy ISD provided Student Accident Coverage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“Athletics &amp; Activities” coverage, Grades 6-12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grade levels are covered under this coverage?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Grades 6-12 for athletics and UIL activities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sports and activities are covered under this policy?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All UIL sanctioned sports are covered as well as band, drill team, cheerleaders, 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ROTC, JTPA programs, FFA, debate, choir, one-act play, etc…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If I have health insurance on my child how does this coverage work?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If you have primary insurance on your child your coverage pays first and then the 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district’s student accident will consider any remaining charges and apply to the 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benefit plan.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if I have CHIPS or Medicaid for my child?</w:t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The student accident insurance will be primary in this case and pay first under</w:t>
        <w:br w:type="textWrapping"/>
        <w:t xml:space="preserve">           the benefit plan.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Where do I obtain a claim form for a student accident?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Claim forms are filed electronically through the school trainer and the parent will</w:t>
        <w:br w:type="textWrapping"/>
        <w:tab/>
        <w:t xml:space="preserve">be provided a copy to take to the doctor and or medical facility for proof of</w:t>
        <w:br w:type="textWrapping"/>
        <w:tab/>
        <w:t xml:space="preserve">coverage.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If I purchase the “voluntary” student accident coverage provided by the school, how does that work along with the “Athletics &amp; Activities” coverage?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If you do not have health insurance and you purchase voluntary coverage, then </w:t>
        <w:tab/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Your coverage pays first and then the school’s policy covers second.  If you have 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health insurance and you buy voluntary coverage then your health insurance is</w:t>
        <w:br w:type="textWrapping"/>
        <w:tab/>
        <w:t xml:space="preserve">first, voluntary is second and then the district’s policy is third if your child is in the</w:t>
        <w:br w:type="textWrapping"/>
        <w:tab/>
        <w:t xml:space="preserve">coverage class as stated above (grades 6-12) UIL sports and activities.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Where can I purchase “voluntary” coverage for my child?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You can purchase by going to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http://www.mmc-ins.com</w:t>
        </w:r>
      </w:hyperlink>
      <w:r w:rsidDel="00000000" w:rsidR="00000000" w:rsidRPr="00000000">
        <w:rPr>
          <w:rtl w:val="0"/>
        </w:rPr>
        <w:t xml:space="preserve"> </w:t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52C2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52C2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52C2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52C2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52C2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52C2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52C2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52C2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52C2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52C2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52C2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52C2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52C2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52C2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52C2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52C2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52C2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52C2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52C2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2C2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52C2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52C2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52C2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52C2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52C2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52C2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52C2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2C2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52C2B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354E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4E8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mc-in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5W+jzCEiyMsChHQMAT69+W2eg==">CgMxLjA4AHIhMXpWREpud2diekhUWDJLd2F1Z2o3UEY0NVNBYnotS3dM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2025-04-03T14:50:00Z</dcterms:created>
  <dc:creator>Greg White</dc:creator>
</cp:coreProperties>
</file>